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67" w:rsidRPr="002B4D67" w:rsidRDefault="002B4D67" w:rsidP="002B4D67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</w:pPr>
      <w:r w:rsidRPr="002B4D6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 xml:space="preserve">Anonim </w:t>
      </w:r>
      <w:r w:rsidRPr="002B4D6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Ş</w:t>
      </w:r>
      <w:r w:rsidRPr="002B4D6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irket Merkez Nakli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Ticaret Sicili Yönetmeliği Madde 111;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GEREKLİ EVRAKLAR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1) Şirketin kayıtlı olduğu sicil müdürlüğünden alınacak belgeler;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a)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Varsa önceki değişiklikleriyle beraber, şirketin eski merkezinin kayıtlı olduğu müdürlükçe onaylı şirket sözleşmesinin bir örneği ile bunların yayımlandığı Sicili Gazeteleri (1 takım onaylı asıl – 1 takım fotokopi)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b) 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Eski merkezde yapılan en son tescilin yayımlandığı sicil gazetesi (1 adet asıl-1 adet fotokopi)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c) 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Eski merkezdeki sicil kaydının Ticaret Sicili Yönetmeliğinin </w:t>
      </w: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111 inci maddesine göre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düzenlenmiş onaylı örneği. (1 adet asıl – 1 adet fotokopi)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 xml:space="preserve">2) </w:t>
      </w:r>
      <w:hyperlink r:id="rId4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Yeni Kayıt Talep Dilekçesi</w:t>
        </w:r>
      </w:hyperlink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 xml:space="preserve">3) </w:t>
      </w:r>
      <w:hyperlink r:id="rId5" w:tgtFrame="_blank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Hükmi Şahıs Kayıt Beyannamesi</w:t>
        </w:r>
      </w:hyperlink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4)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Esas Sözleşmenin merkez maddesinin yeni şeklini gösteren toplantı başkanlığınca onaylı </w:t>
      </w:r>
      <w:hyperlink r:id="rId6" w:history="1">
        <w:r w:rsidRPr="002B4D67">
          <w:rPr>
            <w:rFonts w:ascii="Open Sans" w:eastAsia="Times New Roman" w:hAnsi="Open Sans" w:cs="Times New Roman"/>
            <w:b/>
            <w:bCs/>
            <w:color w:val="444444"/>
            <w:sz w:val="28"/>
            <w:lang w:eastAsia="tr-TR"/>
          </w:rPr>
          <w:t xml:space="preserve">Anonim Şirket Yönetim Kurulu Merkez Nakli Tadil Metni </w:t>
        </w:r>
      </w:hyperlink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(1 adet asıl - 2 adet fotokopi)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5)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Merkez değişikliğinin kabul edildiği </w:t>
      </w:r>
      <w:hyperlink r:id="rId7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Genel Kurul Toplantı Tutanağı</w:t>
        </w:r>
        <w:r w:rsidRPr="002B4D6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</w:t>
        </w:r>
      </w:hyperlink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noter tasdikli (1 adet asıl - 2 adet fotokopi)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6)</w:t>
      </w:r>
      <w:hyperlink r:id="rId8" w:tgtFrame="_blank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Hazır Bulunanlar Listesi</w:t>
        </w:r>
      </w:hyperlink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(1 adet asıl)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7)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Bakanlık temsilcisi atama yazısı (</w:t>
      </w:r>
      <w:hyperlink r:id="rId9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Bakanlık temsilcisi bulundurma zorunluluğu olan toplantılarda</w:t>
        </w:r>
      </w:hyperlink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) (1 asıl)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8)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Toplantı TTK 416 ya göre yapılmadıysa genel kurula davet (ilanın yayımlandığı Türkiye Ticaret Sicili gazetesi ve iadeli taahhütlü mektup gönderileri)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9)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</w:t>
      </w:r>
      <w:hyperlink r:id="rId10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Yönetim Kurulu Gündem Kararı</w:t>
        </w:r>
      </w:hyperlink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( 1adet fotokopi) 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10)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Yönetim Kurulu Üyelerinin 2 şer adet fotoğrafları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11)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Nakil genel kurulunda yönetim kurulu seçimi varsa; Temsil ve İlzama yetkili Yönetim Kurulu üyelerinin kimliği, vatandaşlığı ile yerleşim yerlerini gösterir şirket unvanı altında düzenlenmiş ve noter tarafından düzenlenmiş görevi kabul ettiklerine dair </w:t>
      </w:r>
      <w:r w:rsidRPr="002B4D6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tescil talepli imza beyannamesi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(1 adet asıl-1 adet fotokopi); Nakil genel kurulunda Yönetim kurulu seçimi yoksa mevcut yönetim </w:t>
      </w: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lastRenderedPageBreak/>
        <w:t>kurulunun imza sirküleri ( 1 adet asıl – 1 adet fotokopi). (</w:t>
      </w:r>
      <w:proofErr w:type="spellStart"/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Mersis</w:t>
      </w:r>
      <w:proofErr w:type="spellEnd"/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Talep numarasını notere ibraz etmeniz gerekir.)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2B4D6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</w:t>
      </w:r>
    </w:p>
    <w:p w:rsidR="002B4D67" w:rsidRPr="002B4D67" w:rsidRDefault="002B4D67" w:rsidP="002B4D67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2B4D67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NOT: </w:t>
      </w:r>
      <w:hyperlink r:id="rId11" w:history="1">
        <w:r w:rsidRPr="002B4D67">
          <w:rPr>
            <w:rFonts w:ascii="Open Sans" w:eastAsia="Times New Roman" w:hAnsi="Open Sans" w:cs="Helvetica"/>
            <w:b/>
            <w:bCs/>
            <w:color w:val="444444"/>
            <w:sz w:val="20"/>
            <w:lang w:eastAsia="tr-TR"/>
          </w:rPr>
          <w:t>http://mersis.gumrukticaret.gov.tr/</w:t>
        </w:r>
      </w:hyperlink>
      <w:r w:rsidRPr="002B4D67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adresinden elektronik başvuru yapmanız gerekiyor. </w:t>
      </w:r>
    </w:p>
    <w:p w:rsidR="00A546ED" w:rsidRDefault="002B4D67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D67"/>
    <w:rsid w:val="002B4D67"/>
    <w:rsid w:val="0042693A"/>
    <w:rsid w:val="0047409A"/>
    <w:rsid w:val="00495A66"/>
    <w:rsid w:val="007E5BA1"/>
    <w:rsid w:val="009B5474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2B4D67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B4D67"/>
    <w:rPr>
      <w:rFonts w:ascii="Helvetica" w:eastAsia="Times New Roman" w:hAnsi="Helvetica" w:cs="Helvetica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B4D67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2B4D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4D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5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anonim-sirket-hazir-bulunanlar-listesi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anonim-sirket-genel-kurul-toplanti-tutanagi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anonim-sirket-yonetim-kurulu-merkez-nakli-tadil-metni.doc" TargetMode="External"/><Relationship Id="rId11" Type="http://schemas.openxmlformats.org/officeDocument/2006/relationships/hyperlink" Target="http://mersis.gumrukticaret.gov.tr/" TargetMode="External"/><Relationship Id="rId5" Type="http://schemas.openxmlformats.org/officeDocument/2006/relationships/hyperlink" Target="http://www.matso.org.tr/images/tescil-ve-uyelik/formlar/5-hukmi-sahislara-ait-kayit-beyannanesi.xls" TargetMode="External"/><Relationship Id="rId10" Type="http://schemas.openxmlformats.org/officeDocument/2006/relationships/hyperlink" Target="http://www.matso.org.tr/images/tescil-ve-uyelik/tescil-evraklari/anonim-sirket-olagan-genel-kurul-gundemi.doc" TargetMode="External"/><Relationship Id="rId4" Type="http://schemas.openxmlformats.org/officeDocument/2006/relationships/hyperlink" Target="http://www.matso.org.tr/images/tescil-ve-uyelik/formlar/3-yeni-kayit-talep-dilekcesi.xls" TargetMode="External"/><Relationship Id="rId9" Type="http://schemas.openxmlformats.org/officeDocument/2006/relationships/hyperlink" Target="http://www.matso.org.tr/images/tescil-ve-uyelik/tescil-evraklari/anonim-sirket-bakanlik-temsilcisi-gerekir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2015-04-30T11:44:00Z</dcterms:created>
  <dcterms:modified xsi:type="dcterms:W3CDTF">2015-04-30T11:44:00Z</dcterms:modified>
</cp:coreProperties>
</file>